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16" w:rsidRPr="007A2016" w:rsidRDefault="007A2016" w:rsidP="007A201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64"/>
          <w:szCs w:val="64"/>
        </w:rPr>
      </w:pPr>
      <w:bookmarkStart w:id="0" w:name="_GoBack"/>
      <w:bookmarkEnd w:id="0"/>
      <w:r w:rsidRPr="007A2016">
        <w:rPr>
          <w:rFonts w:ascii="Calibri" w:hAnsi="Calibri" w:cs="Calibri"/>
          <w:b/>
          <w:bCs/>
          <w:kern w:val="24"/>
          <w:sz w:val="64"/>
          <w:szCs w:val="64"/>
        </w:rPr>
        <w:t>Organization of the Autonomic Nervous System-II</w:t>
      </w:r>
    </w:p>
    <w:p w:rsidR="007A2016" w:rsidRPr="007A2016" w:rsidRDefault="007A2016" w:rsidP="007A201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7A2016" w:rsidRPr="007A2016" w:rsidRDefault="007A2016" w:rsidP="007A201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96"/>
          <w:szCs w:val="96"/>
          <w:u w:val="single"/>
        </w:rPr>
      </w:pPr>
      <w:r w:rsidRPr="007A2016">
        <w:rPr>
          <w:rFonts w:ascii="Calibri" w:hAnsi="Calibri" w:cs="Calibri"/>
          <w:b/>
          <w:bCs/>
          <w:kern w:val="24"/>
          <w:sz w:val="96"/>
          <w:szCs w:val="96"/>
          <w:u w:val="single"/>
        </w:rPr>
        <w:t>Objectives</w:t>
      </w:r>
    </w:p>
    <w:p w:rsidR="007A2016" w:rsidRPr="007A2016" w:rsidRDefault="007A2016" w:rsidP="007A201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7A2016">
        <w:rPr>
          <w:rFonts w:ascii="Calibri" w:hAnsi="Calibri" w:cs="Calibri"/>
          <w:kern w:val="24"/>
          <w:sz w:val="64"/>
          <w:szCs w:val="64"/>
        </w:rPr>
        <w:t>Discuss autonomic receptor</w:t>
      </w:r>
    </w:p>
    <w:p w:rsidR="007A2016" w:rsidRPr="007A2016" w:rsidRDefault="007A2016" w:rsidP="007A201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7A2016">
        <w:rPr>
          <w:rFonts w:ascii="Calibri" w:hAnsi="Calibri" w:cs="Calibri"/>
          <w:kern w:val="24"/>
          <w:sz w:val="64"/>
          <w:szCs w:val="64"/>
        </w:rPr>
        <w:t>Know functional organization of ANS</w:t>
      </w:r>
    </w:p>
    <w:p w:rsidR="007A2016" w:rsidRPr="007A2016" w:rsidRDefault="007A2016" w:rsidP="007A201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7A2016">
        <w:rPr>
          <w:rFonts w:ascii="Calibri" w:hAnsi="Calibri" w:cs="Calibri"/>
          <w:kern w:val="24"/>
          <w:sz w:val="64"/>
          <w:szCs w:val="64"/>
        </w:rPr>
        <w:t>Describe receptors in correlations with their neurotransmitter and function</w:t>
      </w:r>
    </w:p>
    <w:p w:rsidR="007A2016" w:rsidRPr="007A2016" w:rsidRDefault="007A2016" w:rsidP="007A201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64"/>
          <w:szCs w:val="64"/>
        </w:rPr>
      </w:pPr>
      <w:r w:rsidRPr="007A2016">
        <w:rPr>
          <w:rFonts w:ascii="Calibri" w:hAnsi="Calibri" w:cs="Calibri"/>
          <w:b/>
          <w:bCs/>
          <w:kern w:val="24"/>
          <w:sz w:val="64"/>
          <w:szCs w:val="64"/>
        </w:rPr>
        <w:t>Autonomic receptors</w:t>
      </w:r>
    </w:p>
    <w:p w:rsidR="007A2016" w:rsidRPr="007A2016" w:rsidRDefault="007A2016" w:rsidP="007A201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7A2016">
        <w:rPr>
          <w:rFonts w:ascii="Calibri" w:hAnsi="Calibri" w:cs="Calibri"/>
          <w:kern w:val="24"/>
          <w:sz w:val="64"/>
          <w:szCs w:val="64"/>
        </w:rPr>
        <w:t>Adrenergic receptors</w:t>
      </w:r>
    </w:p>
    <w:p w:rsidR="007A2016" w:rsidRPr="007A2016" w:rsidRDefault="007A2016" w:rsidP="007A201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7A2016" w:rsidRPr="007A2016" w:rsidRDefault="007A2016" w:rsidP="007A201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64"/>
          <w:szCs w:val="64"/>
        </w:rPr>
      </w:pPr>
      <w:r w:rsidRPr="007A2016">
        <w:rPr>
          <w:rFonts w:ascii="Calibri" w:hAnsi="Calibri" w:cs="Calibri"/>
          <w:b/>
          <w:bCs/>
          <w:kern w:val="24"/>
          <w:sz w:val="64"/>
          <w:szCs w:val="64"/>
          <w:lang w:val="el-GR"/>
        </w:rPr>
        <w:t>α</w:t>
      </w:r>
      <w:r w:rsidRPr="007A2016">
        <w:rPr>
          <w:rFonts w:ascii="Calibri" w:hAnsi="Calibri" w:cs="Calibri"/>
          <w:b/>
          <w:bCs/>
          <w:kern w:val="24"/>
          <w:sz w:val="64"/>
          <w:szCs w:val="64"/>
        </w:rPr>
        <w:t xml:space="preserve"> –adrenergic receptors</w:t>
      </w:r>
    </w:p>
    <w:p w:rsidR="007A2016" w:rsidRPr="007A2016" w:rsidRDefault="007A2016" w:rsidP="007A201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64"/>
          <w:szCs w:val="64"/>
        </w:rPr>
      </w:pPr>
      <w:r w:rsidRPr="007A2016">
        <w:rPr>
          <w:rFonts w:ascii="Calibri" w:hAnsi="Calibri" w:cs="Calibri"/>
          <w:b/>
          <w:bCs/>
          <w:kern w:val="24"/>
          <w:sz w:val="64"/>
          <w:szCs w:val="64"/>
        </w:rPr>
        <w:t xml:space="preserve">Differences between </w:t>
      </w:r>
      <w:r w:rsidRPr="007A2016">
        <w:rPr>
          <w:rFonts w:ascii="Calibri" w:hAnsi="Calibri" w:cs="Calibri"/>
          <w:b/>
          <w:bCs/>
          <w:kern w:val="24"/>
          <w:sz w:val="64"/>
          <w:szCs w:val="64"/>
          <w:lang w:val="el-GR"/>
        </w:rPr>
        <w:t>α</w:t>
      </w:r>
      <w:r w:rsidRPr="007A2016">
        <w:rPr>
          <w:rFonts w:ascii="Calibri" w:hAnsi="Calibri" w:cs="Calibri"/>
          <w:b/>
          <w:bCs/>
          <w:kern w:val="24"/>
          <w:sz w:val="64"/>
          <w:szCs w:val="64"/>
        </w:rPr>
        <w:t xml:space="preserve">1 and </w:t>
      </w:r>
      <w:r w:rsidRPr="007A2016">
        <w:rPr>
          <w:rFonts w:ascii="Calibri" w:hAnsi="Calibri" w:cs="Calibri"/>
          <w:b/>
          <w:bCs/>
          <w:kern w:val="24"/>
          <w:sz w:val="64"/>
          <w:szCs w:val="64"/>
          <w:lang w:val="el-GR"/>
        </w:rPr>
        <w:t>α</w:t>
      </w:r>
      <w:r w:rsidRPr="007A2016">
        <w:rPr>
          <w:rFonts w:ascii="Calibri" w:hAnsi="Calibri" w:cs="Calibri"/>
          <w:b/>
          <w:bCs/>
          <w:kern w:val="24"/>
          <w:sz w:val="64"/>
          <w:szCs w:val="64"/>
        </w:rPr>
        <w:t>2</w:t>
      </w:r>
    </w:p>
    <w:p w:rsidR="007A2016" w:rsidRPr="007A2016" w:rsidRDefault="007A2016" w:rsidP="007A201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64"/>
          <w:szCs w:val="64"/>
        </w:rPr>
      </w:pPr>
      <w:r w:rsidRPr="007A2016">
        <w:rPr>
          <w:rFonts w:ascii="Calibri" w:hAnsi="Calibri" w:cs="Calibri"/>
          <w:b/>
          <w:bCs/>
          <w:kern w:val="24"/>
          <w:sz w:val="64"/>
          <w:szCs w:val="64"/>
          <w:lang w:val="el-GR"/>
        </w:rPr>
        <w:lastRenderedPageBreak/>
        <w:t>α</w:t>
      </w:r>
      <w:r w:rsidRPr="007A2016">
        <w:rPr>
          <w:rFonts w:ascii="Calibri" w:hAnsi="Calibri" w:cs="Calibri"/>
          <w:b/>
          <w:bCs/>
          <w:kern w:val="24"/>
          <w:sz w:val="64"/>
          <w:szCs w:val="64"/>
        </w:rPr>
        <w:t xml:space="preserve">1 and </w:t>
      </w:r>
      <w:r w:rsidRPr="007A2016">
        <w:rPr>
          <w:rFonts w:ascii="Calibri" w:hAnsi="Calibri" w:cs="Calibri"/>
          <w:b/>
          <w:bCs/>
          <w:kern w:val="24"/>
          <w:sz w:val="64"/>
          <w:szCs w:val="64"/>
          <w:lang w:val="el-GR"/>
        </w:rPr>
        <w:t>α</w:t>
      </w:r>
      <w:r w:rsidRPr="007A2016">
        <w:rPr>
          <w:rFonts w:ascii="Calibri" w:hAnsi="Calibri" w:cs="Calibri"/>
          <w:b/>
          <w:bCs/>
          <w:kern w:val="24"/>
          <w:sz w:val="64"/>
          <w:szCs w:val="64"/>
        </w:rPr>
        <w:t xml:space="preserve">2 </w:t>
      </w:r>
    </w:p>
    <w:p w:rsidR="007A2016" w:rsidRPr="007A2016" w:rsidRDefault="007A2016" w:rsidP="007A201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7A2016">
        <w:rPr>
          <w:rFonts w:ascii="Calibri" w:hAnsi="Calibri" w:cs="Calibri"/>
          <w:kern w:val="24"/>
          <w:sz w:val="64"/>
          <w:szCs w:val="64"/>
          <w:lang w:val="el-GR"/>
        </w:rPr>
        <w:t>β</w:t>
      </w:r>
      <w:r w:rsidRPr="007A2016">
        <w:rPr>
          <w:rFonts w:ascii="Calibri" w:hAnsi="Calibri" w:cs="Calibri"/>
          <w:kern w:val="24"/>
          <w:sz w:val="64"/>
          <w:szCs w:val="64"/>
        </w:rPr>
        <w:t>-receptors</w:t>
      </w:r>
    </w:p>
    <w:p w:rsidR="007A2016" w:rsidRPr="007A2016" w:rsidRDefault="007A2016" w:rsidP="007A201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64"/>
          <w:szCs w:val="64"/>
        </w:rPr>
      </w:pPr>
      <w:r w:rsidRPr="007A2016">
        <w:rPr>
          <w:rFonts w:ascii="Calibri" w:hAnsi="Calibri" w:cs="Calibri"/>
          <w:b/>
          <w:bCs/>
          <w:kern w:val="24"/>
          <w:sz w:val="64"/>
          <w:szCs w:val="64"/>
          <w:lang w:val="el-GR"/>
        </w:rPr>
        <w:t>β</w:t>
      </w:r>
      <w:r w:rsidRPr="007A2016">
        <w:rPr>
          <w:rFonts w:ascii="Calibri" w:hAnsi="Calibri" w:cs="Calibri"/>
          <w:b/>
          <w:bCs/>
          <w:kern w:val="24"/>
          <w:sz w:val="64"/>
          <w:szCs w:val="64"/>
        </w:rPr>
        <w:t>-receptor</w:t>
      </w:r>
    </w:p>
    <w:p w:rsidR="007A2016" w:rsidRPr="007A2016" w:rsidRDefault="007A2016" w:rsidP="007A201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64"/>
          <w:szCs w:val="64"/>
        </w:rPr>
      </w:pPr>
      <w:r w:rsidRPr="007A2016">
        <w:rPr>
          <w:rFonts w:ascii="Calibri" w:hAnsi="Calibri" w:cs="Calibri"/>
          <w:b/>
          <w:bCs/>
          <w:kern w:val="24"/>
          <w:sz w:val="64"/>
          <w:szCs w:val="64"/>
        </w:rPr>
        <w:t xml:space="preserve">Effects of </w:t>
      </w:r>
      <w:r w:rsidRPr="007A2016">
        <w:rPr>
          <w:rFonts w:ascii="Calibri" w:hAnsi="Calibri" w:cs="Calibri"/>
          <w:b/>
          <w:bCs/>
          <w:kern w:val="24"/>
          <w:sz w:val="64"/>
          <w:szCs w:val="64"/>
          <w:lang w:val="el-GR"/>
        </w:rPr>
        <w:t>β</w:t>
      </w:r>
      <w:r w:rsidRPr="007A2016">
        <w:rPr>
          <w:rFonts w:ascii="Calibri" w:hAnsi="Calibri" w:cs="Calibri"/>
          <w:b/>
          <w:bCs/>
          <w:kern w:val="24"/>
          <w:sz w:val="64"/>
          <w:szCs w:val="64"/>
        </w:rPr>
        <w:t>-receptor</w:t>
      </w:r>
    </w:p>
    <w:p w:rsidR="007A2016" w:rsidRPr="007A2016" w:rsidRDefault="007A2016" w:rsidP="007A201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7A2016" w:rsidRPr="007A2016" w:rsidRDefault="007A2016" w:rsidP="007A201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7A2016" w:rsidRPr="007A2016" w:rsidRDefault="007A2016" w:rsidP="007A201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64"/>
          <w:szCs w:val="64"/>
        </w:rPr>
      </w:pPr>
      <w:r w:rsidRPr="007A2016">
        <w:rPr>
          <w:rFonts w:ascii="Calibri" w:hAnsi="Calibri" w:cs="Calibri"/>
          <w:b/>
          <w:bCs/>
          <w:kern w:val="24"/>
          <w:sz w:val="64"/>
          <w:szCs w:val="64"/>
        </w:rPr>
        <w:t xml:space="preserve">Cholinergic / parasympathetic receptors </w:t>
      </w:r>
    </w:p>
    <w:p w:rsidR="007A2016" w:rsidRPr="007A2016" w:rsidRDefault="007A2016" w:rsidP="007A201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64"/>
          <w:szCs w:val="64"/>
        </w:rPr>
      </w:pPr>
      <w:r w:rsidRPr="007A2016">
        <w:rPr>
          <w:rFonts w:ascii="Calibri" w:hAnsi="Calibri" w:cs="Calibri"/>
          <w:b/>
          <w:bCs/>
          <w:kern w:val="24"/>
          <w:sz w:val="64"/>
          <w:szCs w:val="64"/>
        </w:rPr>
        <w:t>Muscarinic receptor</w:t>
      </w:r>
    </w:p>
    <w:p w:rsidR="007A2016" w:rsidRPr="007A2016" w:rsidRDefault="007A2016" w:rsidP="007A201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7A2016" w:rsidRPr="007A2016" w:rsidRDefault="007A2016" w:rsidP="007A201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7A2016" w:rsidRPr="007A2016" w:rsidRDefault="007A2016" w:rsidP="007A201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7A2016" w:rsidRPr="007A2016" w:rsidRDefault="007A2016" w:rsidP="007A201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7A2016" w:rsidRPr="007A2016" w:rsidRDefault="007A2016" w:rsidP="007A201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7A2016" w:rsidRPr="007A2016" w:rsidRDefault="007A2016" w:rsidP="007A201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7A2016" w:rsidRPr="007A2016" w:rsidRDefault="007A2016" w:rsidP="007A201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7A2016">
        <w:rPr>
          <w:rFonts w:ascii="Calibri" w:hAnsi="Calibri" w:cs="Calibri"/>
          <w:kern w:val="24"/>
          <w:sz w:val="64"/>
          <w:szCs w:val="64"/>
        </w:rPr>
        <w:t>summary</w:t>
      </w:r>
    </w:p>
    <w:p w:rsidR="007A2016" w:rsidRPr="007A2016" w:rsidRDefault="007A2016" w:rsidP="007A201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96"/>
          <w:szCs w:val="96"/>
        </w:rPr>
      </w:pPr>
      <w:r w:rsidRPr="007A2016">
        <w:rPr>
          <w:rFonts w:ascii="Calibri" w:hAnsi="Calibri" w:cs="Calibri"/>
          <w:b/>
          <w:bCs/>
          <w:kern w:val="24"/>
          <w:sz w:val="96"/>
          <w:szCs w:val="96"/>
        </w:rPr>
        <w:lastRenderedPageBreak/>
        <w:t>References</w:t>
      </w:r>
    </w:p>
    <w:p w:rsidR="007A2016" w:rsidRPr="007A2016" w:rsidRDefault="007A2016" w:rsidP="007A201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7A2016">
        <w:rPr>
          <w:rFonts w:ascii="Calibri" w:hAnsi="Calibri" w:cs="Calibri"/>
          <w:kern w:val="24"/>
          <w:sz w:val="64"/>
          <w:szCs w:val="64"/>
        </w:rPr>
        <w:t>Lippincott’s  Illustrated review of pharmacology – 4</w:t>
      </w:r>
      <w:r w:rsidRPr="007A2016">
        <w:rPr>
          <w:rFonts w:ascii="Calibri" w:hAnsi="Calibri" w:cs="Calibri"/>
          <w:kern w:val="24"/>
          <w:sz w:val="64"/>
          <w:szCs w:val="64"/>
          <w:vertAlign w:val="superscript"/>
        </w:rPr>
        <w:t>th</w:t>
      </w:r>
      <w:r w:rsidRPr="007A2016">
        <w:rPr>
          <w:rFonts w:ascii="Calibri" w:hAnsi="Calibri" w:cs="Calibri"/>
          <w:kern w:val="24"/>
          <w:sz w:val="64"/>
          <w:szCs w:val="64"/>
        </w:rPr>
        <w:t xml:space="preserve"> edition</w:t>
      </w:r>
    </w:p>
    <w:p w:rsidR="007A2016" w:rsidRPr="007A2016" w:rsidRDefault="007A2016" w:rsidP="007A201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7A2016">
        <w:rPr>
          <w:rFonts w:ascii="Calibri" w:hAnsi="Calibri" w:cs="Calibri"/>
          <w:kern w:val="24"/>
          <w:sz w:val="64"/>
          <w:szCs w:val="64"/>
        </w:rPr>
        <w:t>Basic &amp; clinical pharmacology, Bertram G katzung-12</w:t>
      </w:r>
      <w:r w:rsidRPr="007A2016">
        <w:rPr>
          <w:rFonts w:ascii="Calibri" w:hAnsi="Calibri" w:cs="Calibri"/>
          <w:kern w:val="24"/>
          <w:sz w:val="64"/>
          <w:szCs w:val="64"/>
          <w:vertAlign w:val="superscript"/>
        </w:rPr>
        <w:t>th</w:t>
      </w:r>
      <w:r w:rsidRPr="007A2016">
        <w:rPr>
          <w:rFonts w:ascii="Calibri" w:hAnsi="Calibri" w:cs="Calibri"/>
          <w:kern w:val="24"/>
          <w:sz w:val="64"/>
          <w:szCs w:val="64"/>
        </w:rPr>
        <w:t xml:space="preserve"> edition</w:t>
      </w:r>
    </w:p>
    <w:p w:rsidR="007A2016" w:rsidRPr="007A2016" w:rsidRDefault="007A2016" w:rsidP="007A201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7A2016">
        <w:rPr>
          <w:rFonts w:ascii="Calibri" w:hAnsi="Calibri" w:cs="Calibri"/>
          <w:kern w:val="24"/>
          <w:sz w:val="64"/>
          <w:szCs w:val="64"/>
        </w:rPr>
        <w:t>Goodman &amp; Gilman’s –pharmacology</w:t>
      </w:r>
    </w:p>
    <w:p w:rsidR="007A2016" w:rsidRPr="007A2016" w:rsidRDefault="007A2016" w:rsidP="007A201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7A2016">
        <w:rPr>
          <w:rFonts w:ascii="Calibri" w:hAnsi="Calibri" w:cs="Calibri"/>
          <w:kern w:val="24"/>
          <w:sz w:val="64"/>
          <w:szCs w:val="64"/>
        </w:rPr>
        <w:t>Internet resource</w:t>
      </w:r>
    </w:p>
    <w:p w:rsidR="007A2016" w:rsidRPr="007A2016" w:rsidRDefault="007A2016" w:rsidP="007A201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E938C8" w:rsidRPr="007A2016" w:rsidRDefault="00E938C8">
      <w:pPr>
        <w:rPr>
          <w:rFonts w:hint="cs"/>
        </w:rPr>
      </w:pPr>
    </w:p>
    <w:sectPr w:rsidR="00E938C8" w:rsidRPr="007A2016" w:rsidSect="00C1231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7D2EF4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9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16"/>
    <w:rsid w:val="007A2016"/>
    <w:rsid w:val="00E938C8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829023-34CB-4363-A6CA-3E88970D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2015-03-30T10:47:00Z</dcterms:created>
  <dcterms:modified xsi:type="dcterms:W3CDTF">2015-03-30T10:47:00Z</dcterms:modified>
</cp:coreProperties>
</file>