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26243E" w:rsidRPr="00DF082B" w:rsidRDefault="0026243E" w:rsidP="0026243E">
      <w:pPr>
        <w:shd w:val="clear" w:color="auto" w:fill="FFFFFF"/>
        <w:bidi w:val="0"/>
        <w:spacing w:after="0" w:line="480" w:lineRule="atLeast"/>
        <w:jc w:val="center"/>
        <w:textAlignment w:val="top"/>
        <w:outlineLvl w:val="2"/>
        <w:rPr>
          <w:rFonts w:ascii="Arial" w:eastAsia="Times New Roman" w:hAnsi="Arial" w:cs="Arial"/>
          <w:b/>
          <w:bCs/>
          <w:color w:val="000000"/>
          <w:sz w:val="28"/>
          <w:szCs w:val="28"/>
        </w:rPr>
      </w:pPr>
      <w:r w:rsidRPr="00DF082B">
        <w:rPr>
          <w:rFonts w:ascii="Times New Roman" w:eastAsia="Times New Roman" w:hAnsi="Times New Roman" w:cs="Times New Roman"/>
          <w:b/>
          <w:bCs/>
          <w:color w:val="000000"/>
          <w:sz w:val="28"/>
          <w:szCs w:val="28"/>
        </w:rPr>
        <w:t>The Annual</w:t>
      </w:r>
      <w:r w:rsidRPr="00DF082B">
        <w:rPr>
          <w:rFonts w:ascii="Times New Roman" w:eastAsia="Times New Roman" w:hAnsi="Times New Roman" w:cs="Times New Roman"/>
          <w:b/>
          <w:bCs/>
          <w:color w:val="000000"/>
          <w:sz w:val="28"/>
          <w:szCs w:val="28"/>
          <w:rtl/>
        </w:rPr>
        <w:t xml:space="preserve"> ً</w:t>
      </w:r>
      <w:r w:rsidRPr="00DF082B">
        <w:rPr>
          <w:rFonts w:ascii="Times New Roman" w:eastAsia="Times New Roman" w:hAnsi="Times New Roman" w:cs="Times New Roman"/>
          <w:b/>
          <w:bCs/>
          <w:color w:val="000000"/>
          <w:sz w:val="28"/>
          <w:szCs w:val="28"/>
        </w:rPr>
        <w:t xml:space="preserve"> Welcoming Meeting of the New female Students</w:t>
      </w:r>
      <w:bookmarkStart w:id="0" w:name="_GoBack"/>
      <w:bookmarkEnd w:id="0"/>
    </w:p>
    <w:p w:rsidR="0026243E" w:rsidRPr="00DF082B" w:rsidRDefault="0026243E" w:rsidP="0026243E">
      <w:pPr>
        <w:bidi w:val="0"/>
        <w:spacing w:before="100" w:beforeAutospacing="1" w:after="100" w:afterAutospacing="1" w:line="240" w:lineRule="auto"/>
        <w:jc w:val="both"/>
        <w:rPr>
          <w:rFonts w:ascii="Times New Roman" w:eastAsia="Times New Roman" w:hAnsi="Times New Roman" w:cs="Times New Roman"/>
          <w:sz w:val="28"/>
          <w:szCs w:val="28"/>
        </w:rPr>
      </w:pPr>
      <w:r w:rsidRPr="00DF082B">
        <w:rPr>
          <w:rFonts w:ascii="Times New Roman" w:eastAsia="Times New Roman" w:hAnsi="Times New Roman" w:cs="Times New Roman"/>
          <w:b/>
          <w:bCs/>
          <w:color w:val="314318"/>
          <w:sz w:val="28"/>
          <w:szCs w:val="28"/>
          <w:shd w:val="clear" w:color="auto" w:fill="FFFFFF"/>
        </w:rPr>
        <w:t xml:space="preserve">Eager to receive the new female students and to convey all that concerns them during this period, the college’s deanship of Student Affairs organized an annual welcoming meeting at Sunday, August 31, 2014. The meeting started with an opening briefing by the college’s vice-dean of Student Affairs welcoming the students in the name of the college’s dean, during which the mechanism of the academic framework was discussed. Afterwards, an outline of the curriculum as well as the difference between obligatory and optional subjects were exhibited in addition to the agency’s most prominent units and its different activities that are manifested in : acceptance and registration unit and its multiple missions, guidance and social and psychological direction, and student activity unit with its diverse programs. Furthermore, the guide’s importance in role in the academic life was affirmed , as well as the necessity of contacting her in case one would like to know about the best suited schedule, the number of the available subjects and directing them to the right way that ensures their usefulness and utility. In addition, students’ attention was driven to the importance of checking lists and frameworks, and different violations according to which students might have found themselves liable to penalizing. Afterwards, the acceptance and registration coordinator, </w:t>
      </w:r>
      <w:proofErr w:type="spellStart"/>
      <w:r w:rsidRPr="00DF082B">
        <w:rPr>
          <w:rFonts w:ascii="Times New Roman" w:eastAsia="Times New Roman" w:hAnsi="Times New Roman" w:cs="Times New Roman"/>
          <w:b/>
          <w:bCs/>
          <w:color w:val="314318"/>
          <w:sz w:val="28"/>
          <w:szCs w:val="28"/>
          <w:shd w:val="clear" w:color="auto" w:fill="FFFFFF"/>
        </w:rPr>
        <w:t>Amal</w:t>
      </w:r>
      <w:proofErr w:type="spellEnd"/>
      <w:r w:rsidRPr="00DF082B">
        <w:rPr>
          <w:rFonts w:ascii="Times New Roman" w:eastAsia="Times New Roman" w:hAnsi="Times New Roman" w:cs="Times New Roman"/>
          <w:b/>
          <w:bCs/>
          <w:color w:val="314318"/>
          <w:sz w:val="28"/>
          <w:szCs w:val="28"/>
          <w:shd w:val="clear" w:color="auto" w:fill="FFFFFF"/>
        </w:rPr>
        <w:t xml:space="preserve"> Al-</w:t>
      </w:r>
      <w:proofErr w:type="spellStart"/>
      <w:r w:rsidRPr="00DF082B">
        <w:rPr>
          <w:rFonts w:ascii="Times New Roman" w:eastAsia="Times New Roman" w:hAnsi="Times New Roman" w:cs="Times New Roman"/>
          <w:b/>
          <w:bCs/>
          <w:color w:val="314318"/>
          <w:sz w:val="28"/>
          <w:szCs w:val="28"/>
          <w:shd w:val="clear" w:color="auto" w:fill="FFFFFF"/>
        </w:rPr>
        <w:t>Utaybi</w:t>
      </w:r>
      <w:proofErr w:type="spellEnd"/>
      <w:r w:rsidRPr="00DF082B">
        <w:rPr>
          <w:rFonts w:ascii="Times New Roman" w:eastAsia="Times New Roman" w:hAnsi="Times New Roman" w:cs="Times New Roman"/>
          <w:b/>
          <w:bCs/>
          <w:color w:val="314318"/>
          <w:sz w:val="28"/>
          <w:szCs w:val="28"/>
          <w:shd w:val="clear" w:color="auto" w:fill="FFFFFF"/>
        </w:rPr>
        <w:t xml:space="preserve">, showed the “Student on the Threshold” page and offered a plain explanation about how to get into the page and how to deal with its different codes, such as deleting, adding, apologizing, and many others. Then, Professor </w:t>
      </w:r>
      <w:proofErr w:type="spellStart"/>
      <w:r w:rsidRPr="00DF082B">
        <w:rPr>
          <w:rFonts w:ascii="Times New Roman" w:eastAsia="Times New Roman" w:hAnsi="Times New Roman" w:cs="Times New Roman"/>
          <w:b/>
          <w:bCs/>
          <w:color w:val="314318"/>
          <w:sz w:val="28"/>
          <w:szCs w:val="28"/>
          <w:shd w:val="clear" w:color="auto" w:fill="FFFFFF"/>
        </w:rPr>
        <w:t>Mounira</w:t>
      </w:r>
      <w:proofErr w:type="spellEnd"/>
      <w:r w:rsidRPr="00DF082B">
        <w:rPr>
          <w:rFonts w:ascii="Times New Roman" w:eastAsia="Times New Roman" w:hAnsi="Times New Roman" w:cs="Times New Roman"/>
          <w:b/>
          <w:bCs/>
          <w:color w:val="314318"/>
          <w:sz w:val="28"/>
          <w:szCs w:val="28"/>
          <w:shd w:val="clear" w:color="auto" w:fill="FFFFFF"/>
        </w:rPr>
        <w:t xml:space="preserve"> did introduce a presentation defining the D2L system. Besides, the secretary of the student activity , together with members of the Student Activity Unit, participated in the event by offering a set of brochures, bags, and other publications explaining the academic year’s plan. Moreover, the supervisor of the Guidance and Direction Unit, in addition to its members, introduced a number of important issues such as: 1- Welcoming the new students and wishing them a successful year 2- Clarifying the most important points to succeed. 3- Introducing the mission of the guidance unit and its programs 4- Illustrating unlawful behavior and necessary penalties In addition to distributing a number of brochures belonging to Acceptance and Registration unit, as well as presenting a decent honoring to our students.</w:t>
      </w:r>
    </w:p>
    <w:p w:rsidR="0026243E" w:rsidRPr="00DF082B" w:rsidRDefault="0026243E" w:rsidP="0026243E">
      <w:pPr>
        <w:shd w:val="clear" w:color="auto" w:fill="FFFFFF"/>
        <w:spacing w:after="480" w:line="390" w:lineRule="atLeast"/>
        <w:ind w:left="85"/>
        <w:jc w:val="both"/>
        <w:textAlignment w:val="top"/>
        <w:rPr>
          <w:rFonts w:ascii="Times New Roman" w:eastAsia="Times New Roman" w:hAnsi="Times New Roman" w:cs="Times New Roman"/>
          <w:color w:val="314318"/>
          <w:sz w:val="28"/>
          <w:szCs w:val="28"/>
        </w:rPr>
      </w:pPr>
    </w:p>
    <w:p w:rsidR="0026243E" w:rsidRPr="00DF082B" w:rsidRDefault="0026243E" w:rsidP="0026243E">
      <w:pPr>
        <w:shd w:val="clear" w:color="auto" w:fill="FFFFFF"/>
        <w:spacing w:after="480" w:line="390" w:lineRule="atLeast"/>
        <w:ind w:left="85"/>
        <w:jc w:val="center"/>
        <w:textAlignment w:val="top"/>
        <w:rPr>
          <w:rFonts w:ascii="Times New Roman" w:eastAsia="Times New Roman" w:hAnsi="Times New Roman" w:cs="Times New Roman"/>
          <w:color w:val="314318"/>
          <w:sz w:val="28"/>
          <w:szCs w:val="28"/>
          <w:rtl/>
        </w:rPr>
      </w:pPr>
    </w:p>
    <w:p w:rsidR="0026243E" w:rsidRPr="00DF082B" w:rsidRDefault="0026243E" w:rsidP="0026243E">
      <w:pPr>
        <w:shd w:val="clear" w:color="auto" w:fill="FFFFFF"/>
        <w:spacing w:after="480" w:line="390" w:lineRule="atLeast"/>
        <w:ind w:left="85"/>
        <w:jc w:val="center"/>
        <w:textAlignment w:val="top"/>
        <w:rPr>
          <w:rFonts w:ascii="Times New Roman" w:eastAsia="Times New Roman" w:hAnsi="Times New Roman" w:cs="Times New Roman"/>
          <w:color w:val="314318"/>
          <w:sz w:val="28"/>
          <w:szCs w:val="28"/>
          <w:rtl/>
        </w:rPr>
      </w:pPr>
    </w:p>
    <w:p w:rsidR="0026243E" w:rsidRPr="0026243E" w:rsidRDefault="0026243E" w:rsidP="0026243E">
      <w:pPr>
        <w:shd w:val="clear" w:color="auto" w:fill="FFFFFF"/>
        <w:spacing w:after="480" w:line="390" w:lineRule="atLeast"/>
        <w:ind w:left="85"/>
        <w:jc w:val="center"/>
        <w:textAlignment w:val="top"/>
        <w:rPr>
          <w:rFonts w:ascii="Times New Roman" w:eastAsia="Times New Roman" w:hAnsi="Times New Roman" w:cs="Times New Roman"/>
          <w:color w:val="314318"/>
          <w:sz w:val="24"/>
          <w:szCs w:val="24"/>
          <w:rtl/>
        </w:rPr>
      </w:pPr>
    </w:p>
    <w:p w:rsidR="0026243E" w:rsidRPr="0026243E" w:rsidRDefault="0026243E" w:rsidP="0026243E">
      <w:pPr>
        <w:shd w:val="clear" w:color="auto" w:fill="FFFFFF"/>
        <w:spacing w:after="480" w:line="390" w:lineRule="atLeast"/>
        <w:ind w:left="85"/>
        <w:jc w:val="center"/>
        <w:textAlignment w:val="top"/>
        <w:rPr>
          <w:rFonts w:ascii="Times New Roman" w:eastAsia="Times New Roman" w:hAnsi="Times New Roman" w:cs="Times New Roman"/>
          <w:color w:val="314318"/>
          <w:sz w:val="24"/>
          <w:szCs w:val="24"/>
          <w:rtl/>
        </w:rPr>
      </w:pPr>
    </w:p>
    <w:p w:rsidR="0026243E" w:rsidRPr="0026243E" w:rsidRDefault="0026243E" w:rsidP="0026243E">
      <w:pPr>
        <w:shd w:val="clear" w:color="auto" w:fill="FFFFFF"/>
        <w:spacing w:after="480" w:line="390" w:lineRule="atLeast"/>
        <w:ind w:left="85"/>
        <w:jc w:val="center"/>
        <w:textAlignment w:val="top"/>
        <w:rPr>
          <w:rFonts w:ascii="Times New Roman" w:eastAsia="Times New Roman" w:hAnsi="Times New Roman" w:cs="Times New Roman"/>
          <w:color w:val="314318"/>
          <w:sz w:val="24"/>
          <w:szCs w:val="24"/>
          <w:rtl/>
        </w:rPr>
      </w:pPr>
    </w:p>
    <w:p w:rsidR="0026243E" w:rsidRPr="0026243E" w:rsidRDefault="0026243E" w:rsidP="0026243E">
      <w:pPr>
        <w:shd w:val="clear" w:color="auto" w:fill="FFFFFF"/>
        <w:spacing w:after="0" w:line="390" w:lineRule="atLeast"/>
        <w:jc w:val="center"/>
        <w:textAlignment w:val="top"/>
        <w:rPr>
          <w:rFonts w:ascii="Times New Roman" w:eastAsia="Times New Roman" w:hAnsi="Times New Roman" w:cs="Times New Roman"/>
          <w:color w:val="314318"/>
          <w:sz w:val="24"/>
          <w:szCs w:val="24"/>
          <w:rtl/>
        </w:rPr>
      </w:pPr>
    </w:p>
    <w:p w:rsidR="0026243E" w:rsidRPr="0026243E" w:rsidRDefault="0026243E" w:rsidP="0026243E">
      <w:pPr>
        <w:shd w:val="clear" w:color="auto" w:fill="FFFFFF"/>
        <w:spacing w:after="480" w:line="390" w:lineRule="atLeast"/>
        <w:jc w:val="center"/>
        <w:textAlignment w:val="top"/>
        <w:rPr>
          <w:rFonts w:ascii="Times New Roman" w:eastAsia="Times New Roman" w:hAnsi="Times New Roman" w:cs="Times New Roman"/>
          <w:color w:val="314318"/>
          <w:sz w:val="24"/>
          <w:szCs w:val="24"/>
          <w:rtl/>
        </w:rPr>
      </w:pPr>
    </w:p>
    <w:p w:rsidR="0026243E" w:rsidRPr="0026243E" w:rsidRDefault="0026243E" w:rsidP="0026243E">
      <w:pPr>
        <w:shd w:val="clear" w:color="auto" w:fill="FFFFFF"/>
        <w:spacing w:after="480" w:line="390" w:lineRule="atLeast"/>
        <w:jc w:val="center"/>
        <w:textAlignment w:val="top"/>
        <w:rPr>
          <w:rFonts w:ascii="Times New Roman" w:eastAsia="Times New Roman" w:hAnsi="Times New Roman" w:cs="Times New Roman"/>
          <w:color w:val="314318"/>
          <w:sz w:val="24"/>
          <w:szCs w:val="24"/>
          <w:rtl/>
        </w:rPr>
      </w:pPr>
    </w:p>
    <w:p w:rsidR="0026243E" w:rsidRPr="0026243E" w:rsidRDefault="0026243E" w:rsidP="0026243E">
      <w:pPr>
        <w:bidi w:val="0"/>
        <w:spacing w:before="100" w:beforeAutospacing="1" w:after="100" w:afterAutospacing="1" w:line="240" w:lineRule="auto"/>
        <w:jc w:val="both"/>
        <w:rPr>
          <w:rFonts w:ascii="Times New Roman" w:eastAsia="Times New Roman" w:hAnsi="Times New Roman" w:cs="Times New Roman"/>
          <w:sz w:val="24"/>
          <w:szCs w:val="24"/>
          <w:rtl/>
        </w:rPr>
      </w:pP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3E"/>
    <w:rsid w:val="001171A7"/>
    <w:rsid w:val="0026243E"/>
    <w:rsid w:val="00840946"/>
    <w:rsid w:val="00DF0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26243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26243E"/>
    <w:rPr>
      <w:rFonts w:ascii="Times New Roman" w:eastAsia="Times New Roman" w:hAnsi="Times New Roman" w:cs="Times New Roman"/>
      <w:b/>
      <w:bCs/>
      <w:sz w:val="27"/>
      <w:szCs w:val="27"/>
    </w:rPr>
  </w:style>
  <w:style w:type="character" w:styleId="a3">
    <w:name w:val="Strong"/>
    <w:basedOn w:val="a0"/>
    <w:uiPriority w:val="22"/>
    <w:qFormat/>
    <w:rsid w:val="0026243E"/>
    <w:rPr>
      <w:b/>
      <w:bCs/>
    </w:rPr>
  </w:style>
  <w:style w:type="paragraph" w:styleId="a4">
    <w:name w:val="Normal (Web)"/>
    <w:basedOn w:val="a"/>
    <w:uiPriority w:val="99"/>
    <w:semiHidden/>
    <w:unhideWhenUsed/>
    <w:rsid w:val="002624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26243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26243E"/>
    <w:rPr>
      <w:rFonts w:ascii="Times New Roman" w:eastAsia="Times New Roman" w:hAnsi="Times New Roman" w:cs="Times New Roman"/>
      <w:b/>
      <w:bCs/>
      <w:sz w:val="27"/>
      <w:szCs w:val="27"/>
    </w:rPr>
  </w:style>
  <w:style w:type="character" w:styleId="a3">
    <w:name w:val="Strong"/>
    <w:basedOn w:val="a0"/>
    <w:uiPriority w:val="22"/>
    <w:qFormat/>
    <w:rsid w:val="0026243E"/>
    <w:rPr>
      <w:b/>
      <w:bCs/>
    </w:rPr>
  </w:style>
  <w:style w:type="paragraph" w:styleId="a4">
    <w:name w:val="Normal (Web)"/>
    <w:basedOn w:val="a"/>
    <w:uiPriority w:val="99"/>
    <w:semiHidden/>
    <w:unhideWhenUsed/>
    <w:rsid w:val="002624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2015-04-05T16:21:00Z</dcterms:created>
  <dcterms:modified xsi:type="dcterms:W3CDTF">2015-04-05T16:21:00Z</dcterms:modified>
</cp:coreProperties>
</file>