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23" w:rsidRPr="00FB49A3" w:rsidRDefault="00070923" w:rsidP="00070923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070923" w:rsidRDefault="00070923" w:rsidP="00070923">
      <w:pPr>
        <w:rPr>
          <w:rFonts w:ascii="Arabic Transparent" w:cs="Arabic Transparent"/>
          <w:sz w:val="10"/>
          <w:szCs w:val="10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070923" w:rsidRPr="00FB49A3" w:rsidTr="00746632">
        <w:trPr>
          <w:jc w:val="center"/>
        </w:trPr>
        <w:tc>
          <w:tcPr>
            <w:tcW w:w="2443" w:type="dxa"/>
          </w:tcPr>
          <w:p w:rsidR="00070923" w:rsidRPr="00FB49A3" w:rsidRDefault="000709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070923" w:rsidRPr="00F50DFC" w:rsidRDefault="000709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قوانين الطاقة</w:t>
            </w:r>
          </w:p>
        </w:tc>
      </w:tr>
      <w:tr w:rsidR="00070923" w:rsidRPr="00FB49A3" w:rsidTr="00746632">
        <w:trPr>
          <w:jc w:val="center"/>
        </w:trPr>
        <w:tc>
          <w:tcPr>
            <w:tcW w:w="2443" w:type="dxa"/>
          </w:tcPr>
          <w:p w:rsidR="00070923" w:rsidRPr="00FB49A3" w:rsidRDefault="000709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070923" w:rsidRPr="00F50DFC" w:rsidRDefault="000709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LAW 4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73</w:t>
            </w:r>
          </w:p>
        </w:tc>
      </w:tr>
      <w:tr w:rsidR="00070923" w:rsidRPr="00FB49A3" w:rsidTr="00746632">
        <w:trPr>
          <w:jc w:val="center"/>
        </w:trPr>
        <w:tc>
          <w:tcPr>
            <w:tcW w:w="2443" w:type="dxa"/>
          </w:tcPr>
          <w:p w:rsidR="00070923" w:rsidRPr="00FB49A3" w:rsidRDefault="000709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070923" w:rsidRPr="00F50DFC" w:rsidRDefault="000709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</w:rPr>
              <w:t>LAW 326</w:t>
            </w:r>
          </w:p>
        </w:tc>
      </w:tr>
      <w:tr w:rsidR="00070923" w:rsidRPr="00FB49A3" w:rsidTr="00746632">
        <w:trPr>
          <w:jc w:val="center"/>
        </w:trPr>
        <w:tc>
          <w:tcPr>
            <w:tcW w:w="2443" w:type="dxa"/>
          </w:tcPr>
          <w:p w:rsidR="00070923" w:rsidRPr="00FB49A3" w:rsidRDefault="000709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070923" w:rsidRPr="00F50DFC" w:rsidRDefault="000709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اختياري</w:t>
            </w:r>
          </w:p>
        </w:tc>
      </w:tr>
      <w:tr w:rsidR="00070923" w:rsidRPr="00FB49A3" w:rsidTr="00746632">
        <w:trPr>
          <w:jc w:val="center"/>
        </w:trPr>
        <w:tc>
          <w:tcPr>
            <w:tcW w:w="2443" w:type="dxa"/>
          </w:tcPr>
          <w:p w:rsidR="00070923" w:rsidRPr="00FB49A3" w:rsidRDefault="000709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070923" w:rsidRPr="00F50DFC" w:rsidRDefault="000709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070923" w:rsidRPr="00FB49A3" w:rsidTr="00746632">
        <w:trPr>
          <w:jc w:val="center"/>
        </w:trPr>
        <w:tc>
          <w:tcPr>
            <w:tcW w:w="6696" w:type="dxa"/>
            <w:gridSpan w:val="2"/>
          </w:tcPr>
          <w:p w:rsidR="00070923" w:rsidRPr="00FB49A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070923" w:rsidRPr="00FB49A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070923" w:rsidRPr="00FB49A3" w:rsidTr="00746632">
        <w:trPr>
          <w:jc w:val="center"/>
        </w:trPr>
        <w:tc>
          <w:tcPr>
            <w:tcW w:w="6696" w:type="dxa"/>
            <w:gridSpan w:val="2"/>
          </w:tcPr>
          <w:p w:rsidR="00070923" w:rsidRPr="00FB49A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070923" w:rsidRPr="00FB49A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070923" w:rsidRPr="00FB49A3" w:rsidTr="00746632">
        <w:trPr>
          <w:jc w:val="center"/>
        </w:trPr>
        <w:tc>
          <w:tcPr>
            <w:tcW w:w="6696" w:type="dxa"/>
            <w:gridSpan w:val="2"/>
          </w:tcPr>
          <w:p w:rsidR="00070923" w:rsidRPr="00FB49A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070923" w:rsidRPr="00FB49A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070923" w:rsidRPr="00FB49A3" w:rsidTr="00746632">
        <w:trPr>
          <w:jc w:val="center"/>
        </w:trPr>
        <w:tc>
          <w:tcPr>
            <w:tcW w:w="6696" w:type="dxa"/>
            <w:gridSpan w:val="2"/>
          </w:tcPr>
          <w:p w:rsidR="00070923" w:rsidRPr="00FB49A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07092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070923" w:rsidRPr="00FB49A3" w:rsidTr="00746632">
        <w:trPr>
          <w:jc w:val="center"/>
        </w:trPr>
        <w:tc>
          <w:tcPr>
            <w:tcW w:w="6696" w:type="dxa"/>
            <w:gridSpan w:val="2"/>
          </w:tcPr>
          <w:p w:rsidR="00070923" w:rsidRPr="00FB49A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070923" w:rsidRDefault="000709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070923" w:rsidRPr="00FB49A3" w:rsidRDefault="00070923" w:rsidP="00070923">
      <w:pPr>
        <w:rPr>
          <w:rFonts w:asciiTheme="minorBidi" w:hAnsiTheme="minorBidi"/>
          <w:b/>
          <w:bCs/>
          <w:sz w:val="24"/>
          <w:szCs w:val="24"/>
        </w:rPr>
      </w:pPr>
    </w:p>
    <w:p w:rsidR="00070923" w:rsidRPr="007A4106" w:rsidRDefault="00070923" w:rsidP="00070923">
      <w:pPr>
        <w:rPr>
          <w:rFonts w:cs="Arabic Transparent"/>
          <w:sz w:val="10"/>
          <w:szCs w:val="10"/>
          <w:rtl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4315"/>
      </w:tblGrid>
      <w:tr w:rsidR="00070923" w:rsidRPr="00685424" w:rsidTr="00746632">
        <w:trPr>
          <w:trHeight w:val="1030"/>
          <w:jc w:val="center"/>
        </w:trPr>
        <w:tc>
          <w:tcPr>
            <w:tcW w:w="4644" w:type="dxa"/>
          </w:tcPr>
          <w:p w:rsidR="00070923" w:rsidRPr="00B34F6C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34F6C">
              <w:rPr>
                <w:rFonts w:cs="Arabic Transparent"/>
                <w:color w:val="000000" w:themeColor="text1"/>
                <w:sz w:val="32"/>
                <w:szCs w:val="30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بيان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القواعد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التي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تحكم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ملكية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الدولة للثروات الطبيعية،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علاقة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السيادة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بالثروة الطبيعية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،حق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الدولة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على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ثرواتها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الطبيعية في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الشريعة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الإسلامية،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أهم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العقود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التي ترد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على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الثروات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الطبيعية،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عقود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الامتيازات البترولية،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عقد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التعدين،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الرخص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وأنواعها،</w:t>
            </w:r>
          </w:p>
          <w:p w:rsidR="00070923" w:rsidRPr="00B34F6C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رخص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الاستطلاع،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رخص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الكشف،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منازعات</w:t>
            </w:r>
          </w:p>
          <w:p w:rsidR="00070923" w:rsidRPr="00685424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cs="Arabic Transparent"/>
                <w:sz w:val="28"/>
                <w:szCs w:val="28"/>
                <w:rtl/>
              </w:rPr>
            </w:pP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عقود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الامتياز، الجهة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المختصة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والقانون الواجب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التطبيق،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الاتجاهات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الحديثة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في تحديد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القانون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الواجب</w:t>
            </w:r>
            <w:r w:rsidRPr="00B34F6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B34F6C">
              <w:rPr>
                <w:rStyle w:val="SubtleEmphasis"/>
                <w:rFonts w:hint="cs"/>
                <w:i w:val="0"/>
                <w:iCs w:val="0"/>
                <w:color w:val="000000" w:themeColor="text1"/>
                <w:sz w:val="24"/>
                <w:szCs w:val="24"/>
                <w:rtl/>
              </w:rPr>
              <w:t>التطبيق</w:t>
            </w:r>
          </w:p>
        </w:tc>
        <w:tc>
          <w:tcPr>
            <w:tcW w:w="4644" w:type="dxa"/>
          </w:tcPr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Showing the rules governing the ownership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by the state of the natural wealth,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the relation between sovereignty and the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natural wealth, the right of the state over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its natural wealth in </w:t>
            </w:r>
            <w:proofErr w:type="spellStart"/>
            <w:r>
              <w:rPr>
                <w:rFonts w:eastAsiaTheme="minorHAnsi"/>
              </w:rPr>
              <w:t>Shar’ia</w:t>
            </w:r>
            <w:proofErr w:type="spellEnd"/>
            <w:r>
              <w:rPr>
                <w:rFonts w:eastAsiaTheme="minorHAnsi"/>
              </w:rPr>
              <w:t>, the most important contracts connected with the natural wealth, Oil Concessions Contracts,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metallurgy contract, licensing and its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types, licensing for prospecting, licensing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for discovering, the disputes of the concession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contracts, the competent authority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and the applicable law, the modern</w:t>
            </w:r>
          </w:p>
          <w:p w:rsidR="00070923" w:rsidRPr="00E01A49" w:rsidRDefault="00070923" w:rsidP="00746632">
            <w:pPr>
              <w:pStyle w:val="NoSpacing"/>
              <w:bidi w:val="0"/>
              <w:rPr>
                <w:rFonts w:cs="Arabic Transparent"/>
                <w:sz w:val="28"/>
                <w:szCs w:val="28"/>
              </w:rPr>
            </w:pPr>
            <w:proofErr w:type="gramStart"/>
            <w:r>
              <w:rPr>
                <w:rFonts w:eastAsiaTheme="minorHAnsi"/>
              </w:rPr>
              <w:lastRenderedPageBreak/>
              <w:t>trends</w:t>
            </w:r>
            <w:proofErr w:type="gramEnd"/>
            <w:r>
              <w:rPr>
                <w:rFonts w:eastAsiaTheme="minorHAnsi"/>
              </w:rPr>
              <w:t xml:space="preserve"> as to specifying the applicable law.</w:t>
            </w:r>
          </w:p>
        </w:tc>
      </w:tr>
    </w:tbl>
    <w:p w:rsidR="00070923" w:rsidRDefault="00070923" w:rsidP="00070923">
      <w:pPr>
        <w:rPr>
          <w:rFonts w:cs="Arabic Transparent"/>
          <w:b/>
          <w:bCs/>
          <w:sz w:val="28"/>
          <w:szCs w:val="28"/>
          <w:rtl/>
        </w:rPr>
      </w:pPr>
    </w:p>
    <w:p w:rsidR="00070923" w:rsidRPr="00A647DB" w:rsidRDefault="00070923" w:rsidP="00070923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880"/>
        <w:gridCol w:w="4088"/>
      </w:tblGrid>
      <w:tr w:rsidR="00070923" w:rsidRPr="00685424" w:rsidTr="00746632">
        <w:trPr>
          <w:jc w:val="center"/>
        </w:trPr>
        <w:tc>
          <w:tcPr>
            <w:tcW w:w="675" w:type="dxa"/>
          </w:tcPr>
          <w:p w:rsidR="00070923" w:rsidRPr="00685424" w:rsidRDefault="00070923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070923" w:rsidRPr="00B34F6C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  <w:rtl/>
              </w:rPr>
            </w:pP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بيان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القواعد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التي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تحكم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ملكية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الدولة للثروة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البترولية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وقواعد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استغلالها ومنازعات الاستثمارات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البترولية</w:t>
            </w:r>
          </w:p>
        </w:tc>
        <w:tc>
          <w:tcPr>
            <w:tcW w:w="4420" w:type="dxa"/>
          </w:tcPr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Statement of the rules governing the state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ownership of oil wealth and the rules of</w:t>
            </w:r>
          </w:p>
          <w:p w:rsidR="00070923" w:rsidRPr="00162510" w:rsidRDefault="00070923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eastAsiaTheme="minorHAnsi"/>
              </w:rPr>
              <w:t>use and Petroleum Investment Disputes</w:t>
            </w:r>
          </w:p>
        </w:tc>
      </w:tr>
    </w:tbl>
    <w:p w:rsidR="00070923" w:rsidRDefault="00070923" w:rsidP="0007092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070923" w:rsidRDefault="00070923" w:rsidP="0007092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070923" w:rsidRDefault="00070923" w:rsidP="0007092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070923" w:rsidRPr="008E02DF" w:rsidRDefault="00070923" w:rsidP="0007092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التعليم: </w:t>
      </w: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(الفهم والمعرفة والمهارات الذهنية والعملية)</w:t>
      </w:r>
    </w:p>
    <w:p w:rsidR="00070923" w:rsidRPr="008E02DF" w:rsidRDefault="00070923" w:rsidP="0007092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71"/>
        <w:gridCol w:w="4098"/>
      </w:tblGrid>
      <w:tr w:rsidR="00070923" w:rsidRPr="008E02DF" w:rsidTr="00746632">
        <w:trPr>
          <w:jc w:val="center"/>
        </w:trPr>
        <w:tc>
          <w:tcPr>
            <w:tcW w:w="675" w:type="dxa"/>
          </w:tcPr>
          <w:p w:rsidR="00070923" w:rsidRPr="008E02DF" w:rsidRDefault="00070923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070923" w:rsidRPr="00162510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اكتساب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المهارات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في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التعامل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مع اتفاقيات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النفط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والامتيازات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البترولية والنزاعات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المتعلقة</w:t>
            </w:r>
            <w:r w:rsidRPr="00B34F6C">
              <w:rPr>
                <w:rFonts w:cs="Arabic Transparent"/>
                <w:color w:val="000000" w:themeColor="text1"/>
                <w:szCs w:val="24"/>
              </w:rPr>
              <w:t xml:space="preserve"> </w:t>
            </w:r>
            <w:r w:rsidRPr="00B34F6C">
              <w:rPr>
                <w:rFonts w:cs="Arabic Transparent" w:hint="cs"/>
                <w:color w:val="000000" w:themeColor="text1"/>
                <w:szCs w:val="24"/>
                <w:rtl/>
              </w:rPr>
              <w:t>بها</w:t>
            </w:r>
            <w:r>
              <w:rPr>
                <w:rFonts w:ascii="HacenTypographerBook" w:eastAsiaTheme="minorHAnsi" w:cs="HacenTypographerBook"/>
                <w:color w:val="2277FF"/>
                <w:sz w:val="26"/>
                <w:szCs w:val="26"/>
              </w:rPr>
              <w:t xml:space="preserve"> .</w:t>
            </w:r>
          </w:p>
        </w:tc>
        <w:tc>
          <w:tcPr>
            <w:tcW w:w="4420" w:type="dxa"/>
          </w:tcPr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Acquire the skills of dealing with the Oil</w:t>
            </w:r>
          </w:p>
          <w:p w:rsidR="00070923" w:rsidRDefault="000709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Conventions, oil concessions and their</w:t>
            </w:r>
          </w:p>
          <w:p w:rsidR="00070923" w:rsidRPr="00162510" w:rsidRDefault="00070923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disputes</w:t>
            </w:r>
          </w:p>
        </w:tc>
      </w:tr>
    </w:tbl>
    <w:p w:rsidR="00070923" w:rsidRDefault="00070923" w:rsidP="0007092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070923" w:rsidRDefault="00070923" w:rsidP="0007092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070923" w:rsidRPr="00FB49A3" w:rsidRDefault="00070923" w:rsidP="0007092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070923" w:rsidRPr="00FC6260" w:rsidTr="00746632">
        <w:trPr>
          <w:jc w:val="center"/>
        </w:trPr>
        <w:tc>
          <w:tcPr>
            <w:tcW w:w="6863" w:type="dxa"/>
          </w:tcPr>
          <w:p w:rsidR="00070923" w:rsidRDefault="00070923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070923" w:rsidRPr="00FB49A3" w:rsidRDefault="00070923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070923" w:rsidRDefault="00070923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070923" w:rsidRPr="00FC6260" w:rsidRDefault="00070923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070923" w:rsidRDefault="00070923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070923" w:rsidRPr="00FC6260" w:rsidRDefault="00070923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070923" w:rsidRPr="00FC6260" w:rsidTr="00746632">
        <w:trPr>
          <w:jc w:val="center"/>
        </w:trPr>
        <w:tc>
          <w:tcPr>
            <w:tcW w:w="6863" w:type="dxa"/>
          </w:tcPr>
          <w:p w:rsidR="00070923" w:rsidRPr="00162510" w:rsidRDefault="00070923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070923" w:rsidRPr="00162510" w:rsidRDefault="0007092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070923" w:rsidRPr="00162510" w:rsidRDefault="0007092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070923" w:rsidRDefault="00070923" w:rsidP="0007092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070923" w:rsidRDefault="00070923" w:rsidP="0007092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070923" w:rsidRPr="00FB49A3" w:rsidRDefault="00070923" w:rsidP="00070923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507"/>
      </w:tblGrid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الكتاب المقرر</w:t>
            </w:r>
          </w:p>
          <w:p w:rsidR="00070923" w:rsidRPr="00726D08" w:rsidRDefault="000709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6"/>
                <w:szCs w:val="26"/>
                <w:rtl/>
              </w:rPr>
              <w:t>اتفاقيات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6"/>
                <w:szCs w:val="26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6"/>
                <w:szCs w:val="26"/>
                <w:rtl/>
              </w:rPr>
              <w:t>النفط  والمعادن في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6"/>
                <w:szCs w:val="26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6"/>
                <w:szCs w:val="26"/>
                <w:rtl/>
              </w:rPr>
              <w:t>المملكة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070923" w:rsidRPr="00726D08" w:rsidRDefault="000709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،ابن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لعبون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،عبد العزيز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عبد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الله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070923" w:rsidRPr="00726D08" w:rsidRDefault="000709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مكتبة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الملكِ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عبد العزيز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070923" w:rsidRPr="00726D08" w:rsidRDefault="000709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jc w:val="both"/>
              <w:rPr>
                <w:rFonts w:cs="Arabic Transparent"/>
                <w:sz w:val="24"/>
                <w:szCs w:val="24"/>
                <w:rtl/>
                <w:lang w:bidi="ar-JO"/>
              </w:rPr>
            </w:pPr>
            <w:r w:rsidRPr="007A5988">
              <w:rPr>
                <w:rFonts w:cs="Arabic Transparent" w:hint="cs"/>
                <w:sz w:val="24"/>
                <w:szCs w:val="24"/>
                <w:rtl/>
                <w:lang w:bidi="ar-JO"/>
              </w:rPr>
              <w:t>2003 م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070923" w:rsidRPr="00726D08" w:rsidRDefault="000709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قانون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النفط، دراسة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مقارنة،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070923" w:rsidRPr="00726D08" w:rsidRDefault="000709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أحمد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عبد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الحميد عشوش</w:t>
            </w:r>
          </w:p>
        </w:tc>
      </w:tr>
      <w:tr w:rsidR="00070923" w:rsidRPr="00726D08" w:rsidTr="00746632">
        <w:trPr>
          <w:trHeight w:val="50"/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070923" w:rsidRPr="00726D08" w:rsidRDefault="000709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مؤسسة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شباب الجامعة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070923" w:rsidRPr="00726D08" w:rsidRDefault="000709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 w:rsidRPr="007A5988">
              <w:rPr>
                <w:rFonts w:cs="Arabic Transparent" w:hint="cs"/>
                <w:sz w:val="24"/>
                <w:szCs w:val="24"/>
                <w:rtl/>
                <w:lang w:bidi="ar-JO"/>
              </w:rPr>
              <w:t>1989م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cs="Arabic Transparent"/>
                <w:sz w:val="24"/>
                <w:szCs w:val="24"/>
                <w:rtl/>
                <w:lang w:bidi="ar-JO"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القانون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والسيادة وامتيازات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النفط مقارنة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بالشريعة الإسلامية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070923" w:rsidRPr="00731C10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HacenTypographerBold" w:eastAsiaTheme="minorHAnsi" w:cs="HacenTypographerBold"/>
                <w:b/>
                <w:bCs/>
                <w:sz w:val="28"/>
                <w:szCs w:val="28"/>
                <w:rtl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الدكتور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أحمد عبد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الرزاق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 xml:space="preserve">خليفة السعيدان 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070923" w:rsidRPr="00731C10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HacenTypographerBold" w:eastAsiaTheme="minorHAnsi" w:cs="HacenTypographerBold"/>
                <w:b/>
                <w:bCs/>
                <w:sz w:val="28"/>
                <w:szCs w:val="28"/>
                <w:rtl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مركز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دراسات الوحدة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 xml:space="preserve"> </w:t>
            </w: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t>العربية</w:t>
            </w:r>
            <w:r w:rsidRPr="007A5988">
              <w:rPr>
                <w:rFonts w:ascii="HacenTypographerBold" w:eastAsiaTheme="minorHAnsi" w:cs="HacenTypographerBold"/>
                <w:b/>
                <w:bCs/>
                <w:sz w:val="28"/>
                <w:szCs w:val="28"/>
              </w:rPr>
              <w:t>.</w:t>
            </w:r>
          </w:p>
        </w:tc>
      </w:tr>
      <w:tr w:rsidR="000709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070923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070923" w:rsidRPr="00726D08" w:rsidRDefault="000709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lastRenderedPageBreak/>
              <w:t>Publishing Year</w:t>
            </w:r>
          </w:p>
        </w:tc>
        <w:tc>
          <w:tcPr>
            <w:tcW w:w="6805" w:type="dxa"/>
          </w:tcPr>
          <w:p w:rsidR="00070923" w:rsidRPr="007A5988" w:rsidRDefault="000709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HacenTypographerBold" w:eastAsiaTheme="minorHAnsi" w:cs="HacenTypographerBold"/>
                <w:b/>
                <w:bCs/>
                <w:sz w:val="28"/>
                <w:szCs w:val="28"/>
                <w:rtl/>
              </w:rPr>
            </w:pPr>
            <w:r w:rsidRPr="007A5988">
              <w:rPr>
                <w:rFonts w:ascii="HacenTypographerBold" w:eastAsiaTheme="minorHAnsi" w:cs="HacenTypographerBold" w:hint="cs"/>
                <w:b/>
                <w:bCs/>
                <w:sz w:val="28"/>
                <w:szCs w:val="28"/>
                <w:rtl/>
              </w:rPr>
              <w:lastRenderedPageBreak/>
              <w:t>1997م</w:t>
            </w:r>
          </w:p>
        </w:tc>
      </w:tr>
    </w:tbl>
    <w:p w:rsidR="00070923" w:rsidRDefault="00070923" w:rsidP="00070923">
      <w:pPr>
        <w:rPr>
          <w:rtl/>
        </w:rPr>
      </w:pPr>
    </w:p>
    <w:p w:rsidR="00070923" w:rsidRDefault="00070923" w:rsidP="00070923">
      <w:r>
        <w:rPr>
          <w:rFonts w:hint="cs"/>
          <w:rtl/>
        </w:rPr>
        <w:t>ملاحظة: يمكن اضافة مراجع اخرى بحيث لا تتجاوز 3 مراجع على الاكثر.</w:t>
      </w:r>
    </w:p>
    <w:p w:rsidR="002562D3" w:rsidRPr="00070923" w:rsidRDefault="002562D3" w:rsidP="00070923">
      <w:pPr>
        <w:rPr>
          <w:rtl/>
        </w:rPr>
      </w:pPr>
    </w:p>
    <w:sectPr w:rsidR="002562D3" w:rsidRPr="000709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TypographerBoo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acenTypographe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70923"/>
    <w:rsid w:val="000F2523"/>
    <w:rsid w:val="00106720"/>
    <w:rsid w:val="00107D44"/>
    <w:rsid w:val="00167908"/>
    <w:rsid w:val="00182C5D"/>
    <w:rsid w:val="001875A6"/>
    <w:rsid w:val="00195B1C"/>
    <w:rsid w:val="001A2EE4"/>
    <w:rsid w:val="001F185A"/>
    <w:rsid w:val="001F1948"/>
    <w:rsid w:val="00230252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4D6A25"/>
    <w:rsid w:val="00514562"/>
    <w:rsid w:val="00520423"/>
    <w:rsid w:val="005337EB"/>
    <w:rsid w:val="00571909"/>
    <w:rsid w:val="00603D7F"/>
    <w:rsid w:val="00636714"/>
    <w:rsid w:val="006A09F1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86855"/>
    <w:rsid w:val="00994357"/>
    <w:rsid w:val="009D3B2A"/>
    <w:rsid w:val="00A166D1"/>
    <w:rsid w:val="00A83C70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BE782B"/>
    <w:rsid w:val="00C760C5"/>
    <w:rsid w:val="00D40CA8"/>
    <w:rsid w:val="00D5681E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20423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6367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3671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71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2014-10-29T08:34:00Z</cp:lastPrinted>
  <dcterms:created xsi:type="dcterms:W3CDTF">2014-10-29T08:36:00Z</dcterms:created>
  <dcterms:modified xsi:type="dcterms:W3CDTF">2014-10-29T08:36:00Z</dcterms:modified>
</cp:coreProperties>
</file>